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9D" w:rsidRPr="0072599D" w:rsidRDefault="00D925D4" w:rsidP="00046D10">
      <w:pPr>
        <w:spacing w:after="27"/>
        <w:rPr>
          <w:rFonts w:eastAsiaTheme="majorEastAsia" w:cstheme="majorBidi"/>
          <w:smallCaps/>
          <w:noProof/>
          <w:color w:val="auto"/>
          <w:spacing w:val="10"/>
          <w:kern w:val="28"/>
          <w:lang w:val="en-GB" w:eastAsia="en-GB"/>
        </w:rPr>
      </w:pPr>
      <w:r>
        <w:t xml:space="preserve"> </w:t>
      </w:r>
      <w:r w:rsidR="0072599D" w:rsidRPr="0072599D">
        <w:rPr>
          <w:rFonts w:eastAsiaTheme="majorEastAsia"/>
          <w:b/>
          <w:smallCaps/>
          <w:noProof/>
          <w:color w:val="auto"/>
          <w:spacing w:val="10"/>
          <w:kern w:val="28"/>
          <w:sz w:val="40"/>
          <w:szCs w:val="40"/>
        </w:rPr>
        <mc:AlternateContent>
          <mc:Choice Requires="wps">
            <w:drawing>
              <wp:anchor distT="0" distB="0" distL="114300" distR="114300" simplePos="0" relativeHeight="251660288" behindDoc="0" locked="0" layoutInCell="1" allowOverlap="1" wp14:anchorId="39201849" wp14:editId="1F506B22">
                <wp:simplePos x="0" y="0"/>
                <wp:positionH relativeFrom="column">
                  <wp:posOffset>5715</wp:posOffset>
                </wp:positionH>
                <wp:positionV relativeFrom="paragraph">
                  <wp:posOffset>315595</wp:posOffset>
                </wp:positionV>
                <wp:extent cx="495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95300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9A078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4.85pt" to="390.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" strokecolor="#5b9bd5" strokeweight=".5pt">
                <v:stroke joinstyle="miter"/>
              </v:line>
            </w:pict>
          </mc:Fallback>
        </mc:AlternateContent>
      </w:r>
      <w:r w:rsidR="0072599D" w:rsidRPr="0072599D">
        <w:rPr>
          <w:rFonts w:eastAsiaTheme="majorEastAsia"/>
          <w:b/>
          <w:smallCaps/>
          <w:noProof/>
          <w:color w:val="auto"/>
          <w:spacing w:val="10"/>
          <w:kern w:val="28"/>
          <w:sz w:val="40"/>
          <w:szCs w:val="40"/>
          <w:lang w:eastAsia="en-GB"/>
        </w:rPr>
        <w:t xml:space="preserve">department of port control                                             cleveland hopkins international airport  (CLE)                                                  </w:t>
      </w:r>
    </w:p>
    <w:p w:rsidR="0072599D" w:rsidRPr="0072599D" w:rsidRDefault="0072599D" w:rsidP="0072599D">
      <w:pPr>
        <w:spacing w:after="98"/>
        <w:ind w:right="287"/>
        <w:rPr>
          <w:rFonts w:asciiTheme="minorHAnsi" w:eastAsia="Georgia" w:hAnsiTheme="minorHAnsi" w:cstheme="minorHAnsi"/>
          <w:b/>
          <w:sz w:val="20"/>
          <w:szCs w:val="20"/>
        </w:rPr>
      </w:pPr>
      <w:r w:rsidRPr="0072599D">
        <w:rPr>
          <w:rFonts w:asciiTheme="minorHAnsi" w:eastAsia="Georgia" w:hAnsiTheme="minorHAnsi" w:cstheme="minorHAnsi"/>
          <w:b/>
          <w:sz w:val="20"/>
          <w:szCs w:val="20"/>
        </w:rPr>
        <w:t>Co</w:t>
      </w:r>
      <w:r w:rsidR="00D925D4">
        <w:rPr>
          <w:rFonts w:asciiTheme="minorHAnsi" w:eastAsia="Georgia" w:hAnsiTheme="minorHAnsi" w:cstheme="minorHAnsi"/>
          <w:b/>
          <w:sz w:val="20"/>
          <w:szCs w:val="20"/>
        </w:rPr>
        <w:t>urier/Delivery Provider</w:t>
      </w:r>
      <w:r w:rsidRPr="0072599D">
        <w:rPr>
          <w:rFonts w:asciiTheme="minorHAnsi" w:eastAsia="Georgia" w:hAnsiTheme="minorHAnsi" w:cstheme="minorHAnsi"/>
          <w:b/>
          <w:sz w:val="20"/>
          <w:szCs w:val="20"/>
        </w:rPr>
        <w:t xml:space="preserve"> Rules/Regulations.  Agreement and Permit.</w:t>
      </w:r>
    </w:p>
    <w:p w:rsidR="0072599D" w:rsidRDefault="0072599D" w:rsidP="0072599D">
      <w:pPr>
        <w:spacing w:after="0"/>
        <w:rPr>
          <w:rFonts w:asciiTheme="minorHAnsi" w:hAnsiTheme="minorHAnsi" w:cstheme="minorHAnsi"/>
          <w:sz w:val="20"/>
          <w:szCs w:val="20"/>
        </w:rPr>
      </w:pPr>
      <w:r w:rsidRPr="0072599D">
        <w:rPr>
          <w:rFonts w:asciiTheme="minorHAnsi" w:hAnsiTheme="minorHAnsi" w:cstheme="minorHAnsi"/>
          <w:sz w:val="20"/>
          <w:szCs w:val="20"/>
        </w:rPr>
        <w:t xml:space="preserve">The following rules and regulations have been promulgated to provide </w:t>
      </w:r>
      <w:r>
        <w:rPr>
          <w:rFonts w:asciiTheme="minorHAnsi" w:hAnsiTheme="minorHAnsi" w:cstheme="minorHAnsi"/>
          <w:sz w:val="20"/>
          <w:szCs w:val="20"/>
        </w:rPr>
        <w:t xml:space="preserve">qualified Courier and Delivery </w:t>
      </w:r>
      <w:r w:rsidRPr="0072599D">
        <w:rPr>
          <w:rFonts w:asciiTheme="minorHAnsi" w:hAnsiTheme="minorHAnsi" w:cstheme="minorHAnsi"/>
          <w:sz w:val="20"/>
          <w:szCs w:val="20"/>
        </w:rPr>
        <w:t xml:space="preserve">Providers </w:t>
      </w:r>
    </w:p>
    <w:p w:rsidR="002961A7" w:rsidRPr="0072599D" w:rsidRDefault="0072599D" w:rsidP="00D925D4">
      <w:pPr>
        <w:spacing w:after="0" w:line="240" w:lineRule="auto"/>
        <w:rPr>
          <w:rFonts w:asciiTheme="minorHAnsi" w:hAnsiTheme="minorHAnsi" w:cstheme="minorHAnsi"/>
          <w:sz w:val="20"/>
          <w:szCs w:val="20"/>
        </w:rPr>
      </w:pPr>
      <w:r w:rsidRPr="0072599D">
        <w:rPr>
          <w:rFonts w:asciiTheme="minorHAnsi" w:hAnsiTheme="minorHAnsi" w:cstheme="minorHAnsi"/>
          <w:sz w:val="20"/>
          <w:szCs w:val="20"/>
        </w:rPr>
        <w:t xml:space="preserve">with the requirements for </w:t>
      </w:r>
      <w:r w:rsidR="002961A7">
        <w:rPr>
          <w:rFonts w:asciiTheme="minorHAnsi" w:hAnsiTheme="minorHAnsi" w:cstheme="minorHAnsi"/>
          <w:sz w:val="20"/>
          <w:szCs w:val="20"/>
        </w:rPr>
        <w:t>conducting package and other non-passenger related deliveries to CLE.</w:t>
      </w:r>
      <w:r w:rsidR="00046D10">
        <w:rPr>
          <w:rFonts w:asciiTheme="minorHAnsi" w:hAnsiTheme="minorHAnsi" w:cstheme="minorHAnsi"/>
          <w:sz w:val="20"/>
          <w:szCs w:val="20"/>
        </w:rPr>
        <w:t xml:space="preserve">  </w:t>
      </w:r>
      <w:r w:rsidR="002961A7" w:rsidRPr="002961A7">
        <w:rPr>
          <w:rFonts w:asciiTheme="minorHAnsi" w:hAnsiTheme="minorHAnsi" w:cstheme="minorHAnsi"/>
          <w:b/>
          <w:sz w:val="20"/>
          <w:szCs w:val="20"/>
        </w:rPr>
        <w:t>Luggage pick-up and drop off is not permitted.</w:t>
      </w:r>
    </w:p>
    <w:p w:rsidR="00046D10" w:rsidRDefault="00046D10" w:rsidP="00D925D4">
      <w:pPr>
        <w:spacing w:line="240" w:lineRule="auto"/>
        <w:rPr>
          <w:rFonts w:asciiTheme="minorHAnsi" w:eastAsiaTheme="minorHAnsi" w:hAnsiTheme="minorHAnsi" w:cstheme="minorHAnsi"/>
          <w:b/>
          <w:color w:val="auto"/>
          <w:sz w:val="20"/>
          <w:szCs w:val="20"/>
          <w:u w:val="single"/>
        </w:rPr>
      </w:pPr>
    </w:p>
    <w:p w:rsidR="0072599D" w:rsidRPr="0072599D" w:rsidRDefault="0072599D" w:rsidP="00D925D4">
      <w:pPr>
        <w:spacing w:line="240" w:lineRule="auto"/>
        <w:rPr>
          <w:rFonts w:asciiTheme="minorHAnsi" w:eastAsiaTheme="minorHAnsi" w:hAnsiTheme="minorHAnsi" w:cstheme="minorHAnsi"/>
          <w:b/>
          <w:color w:val="auto"/>
          <w:sz w:val="20"/>
          <w:szCs w:val="20"/>
          <w:u w:val="single"/>
        </w:rPr>
      </w:pPr>
      <w:r w:rsidRPr="0072599D">
        <w:rPr>
          <w:rFonts w:asciiTheme="minorHAnsi" w:eastAsiaTheme="minorHAnsi" w:hAnsiTheme="minorHAnsi" w:cstheme="minorHAnsi"/>
          <w:b/>
          <w:color w:val="auto"/>
          <w:sz w:val="20"/>
          <w:szCs w:val="20"/>
          <w:u w:val="single"/>
        </w:rPr>
        <w:t>Overview:</w:t>
      </w:r>
    </w:p>
    <w:p w:rsidR="0072599D" w:rsidRPr="0072599D" w:rsidRDefault="002961A7" w:rsidP="0072599D">
      <w:pPr>
        <w:numPr>
          <w:ilvl w:val="0"/>
          <w:numId w:val="1"/>
        </w:numPr>
        <w:contextualSpacing/>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Courier and Delivery </w:t>
      </w:r>
      <w:r w:rsidR="0072599D" w:rsidRPr="0072599D">
        <w:rPr>
          <w:rFonts w:asciiTheme="minorHAnsi" w:eastAsiaTheme="minorHAnsi" w:hAnsiTheme="minorHAnsi" w:cstheme="minorHAnsi"/>
          <w:color w:val="auto"/>
          <w:sz w:val="20"/>
          <w:szCs w:val="20"/>
        </w:rPr>
        <w:t>Vehicles are defined as any vehicle that uses the CLE Roadways to conduct business</w:t>
      </w:r>
      <w:r>
        <w:rPr>
          <w:rFonts w:asciiTheme="minorHAnsi" w:eastAsiaTheme="minorHAnsi" w:hAnsiTheme="minorHAnsi" w:cstheme="minorHAnsi"/>
          <w:color w:val="auto"/>
          <w:sz w:val="20"/>
          <w:szCs w:val="20"/>
        </w:rPr>
        <w:t xml:space="preserve"> at CLE</w:t>
      </w:r>
      <w:r w:rsidR="0072599D" w:rsidRPr="0072599D">
        <w:rPr>
          <w:rFonts w:asciiTheme="minorHAnsi" w:eastAsiaTheme="minorHAnsi" w:hAnsiTheme="minorHAnsi" w:cstheme="minorHAnsi"/>
          <w:color w:val="auto"/>
          <w:sz w:val="20"/>
          <w:szCs w:val="20"/>
        </w:rPr>
        <w:t>;</w:t>
      </w:r>
      <w:r w:rsidR="00D925D4">
        <w:rPr>
          <w:rFonts w:asciiTheme="minorHAnsi" w:eastAsiaTheme="minorHAnsi" w:hAnsiTheme="minorHAnsi" w:cstheme="minorHAnsi"/>
          <w:color w:val="auto"/>
          <w:sz w:val="20"/>
          <w:szCs w:val="20"/>
        </w:rPr>
        <w:t xml:space="preserve"> and will conduct such business in a designated staging area;</w:t>
      </w:r>
    </w:p>
    <w:p w:rsidR="0072599D" w:rsidRPr="0072599D" w:rsidRDefault="002961A7" w:rsidP="0072599D">
      <w:pPr>
        <w:numPr>
          <w:ilvl w:val="0"/>
          <w:numId w:val="1"/>
        </w:numPr>
        <w:contextualSpacing/>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Providers</w:t>
      </w:r>
      <w:r w:rsidR="0072599D" w:rsidRPr="0072599D">
        <w:rPr>
          <w:rFonts w:asciiTheme="minorHAnsi" w:eastAsiaTheme="minorHAnsi" w:hAnsiTheme="minorHAnsi" w:cstheme="minorHAnsi"/>
          <w:color w:val="auto"/>
          <w:sz w:val="20"/>
          <w:szCs w:val="20"/>
        </w:rPr>
        <w:t xml:space="preserve"> will be required to show a valid vehicle registration, proof of Insurance and PUCO Authority, along with providing a valid email address and phone number</w:t>
      </w:r>
      <w:r w:rsidR="00046D10">
        <w:rPr>
          <w:rFonts w:asciiTheme="minorHAnsi" w:eastAsiaTheme="minorHAnsi" w:hAnsiTheme="minorHAnsi" w:cstheme="minorHAnsi"/>
          <w:color w:val="auto"/>
          <w:sz w:val="20"/>
          <w:szCs w:val="20"/>
        </w:rPr>
        <w:t>;</w:t>
      </w:r>
    </w:p>
    <w:p w:rsidR="0072599D" w:rsidRDefault="002961A7" w:rsidP="0072599D">
      <w:pPr>
        <w:numPr>
          <w:ilvl w:val="0"/>
          <w:numId w:val="1"/>
        </w:numPr>
        <w:contextualSpacing/>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Providers </w:t>
      </w:r>
      <w:r w:rsidR="0072599D" w:rsidRPr="0072599D">
        <w:rPr>
          <w:rFonts w:asciiTheme="minorHAnsi" w:eastAsiaTheme="minorHAnsi" w:hAnsiTheme="minorHAnsi" w:cstheme="minorHAnsi"/>
          <w:color w:val="auto"/>
          <w:sz w:val="20"/>
          <w:szCs w:val="20"/>
        </w:rPr>
        <w:t xml:space="preserve">are required to register with the Ground Transportation Office located inside the Terminal at CLE on baggage claim level </w:t>
      </w:r>
      <w:r w:rsidR="00046D10">
        <w:rPr>
          <w:rFonts w:asciiTheme="minorHAnsi" w:eastAsiaTheme="minorHAnsi" w:hAnsiTheme="minorHAnsi" w:cstheme="minorHAnsi"/>
          <w:color w:val="auto"/>
          <w:sz w:val="20"/>
          <w:szCs w:val="20"/>
        </w:rPr>
        <w:t>across from carousel # 3;</w:t>
      </w:r>
    </w:p>
    <w:p w:rsidR="00655522" w:rsidRPr="002961A7" w:rsidRDefault="002961A7" w:rsidP="00973D86">
      <w:pPr>
        <w:numPr>
          <w:ilvl w:val="0"/>
          <w:numId w:val="1"/>
        </w:numPr>
        <w:contextualSpacing/>
        <w:rPr>
          <w:rFonts w:asciiTheme="minorHAnsi" w:hAnsiTheme="minorHAnsi" w:cstheme="minorHAnsi"/>
          <w:sz w:val="20"/>
          <w:szCs w:val="20"/>
        </w:rPr>
      </w:pPr>
      <w:r w:rsidRPr="002961A7">
        <w:rPr>
          <w:rFonts w:asciiTheme="minorHAnsi" w:eastAsiaTheme="minorHAnsi" w:hAnsiTheme="minorHAnsi" w:cstheme="minorHAnsi"/>
          <w:color w:val="auto"/>
          <w:sz w:val="20"/>
          <w:szCs w:val="20"/>
        </w:rPr>
        <w:t>Providers are required to have the Agreement/Permit</w:t>
      </w:r>
      <w:r w:rsidRPr="002961A7">
        <w:rPr>
          <w:rFonts w:asciiTheme="minorHAnsi" w:eastAsia="Georgia" w:hAnsiTheme="minorHAnsi" w:cstheme="minorHAnsi"/>
        </w:rPr>
        <w:t xml:space="preserve"> </w:t>
      </w:r>
      <w:r w:rsidRPr="002961A7">
        <w:rPr>
          <w:rFonts w:asciiTheme="minorHAnsi" w:eastAsia="Georgia" w:hAnsiTheme="minorHAnsi" w:cstheme="minorHAnsi"/>
          <w:sz w:val="20"/>
          <w:szCs w:val="20"/>
        </w:rPr>
        <w:t>be signed and dated by an authorized representative from one (1) of the Air Carrie</w:t>
      </w:r>
      <w:r w:rsidR="00D925D4">
        <w:rPr>
          <w:rFonts w:asciiTheme="minorHAnsi" w:eastAsia="Georgia" w:hAnsiTheme="minorHAnsi" w:cstheme="minorHAnsi"/>
          <w:sz w:val="20"/>
          <w:szCs w:val="20"/>
        </w:rPr>
        <w:t>r</w:t>
      </w:r>
      <w:r w:rsidRPr="002961A7">
        <w:rPr>
          <w:rFonts w:asciiTheme="minorHAnsi" w:eastAsia="Georgia" w:hAnsiTheme="minorHAnsi" w:cstheme="minorHAnsi"/>
          <w:sz w:val="20"/>
          <w:szCs w:val="20"/>
        </w:rPr>
        <w:t>s or Concessionaires with which the Provider co</w:t>
      </w:r>
      <w:r w:rsidR="00046D10">
        <w:rPr>
          <w:rFonts w:asciiTheme="minorHAnsi" w:eastAsia="Georgia" w:hAnsiTheme="minorHAnsi" w:cstheme="minorHAnsi"/>
          <w:sz w:val="20"/>
          <w:szCs w:val="20"/>
        </w:rPr>
        <w:t>nducts business at the Airport;</w:t>
      </w:r>
    </w:p>
    <w:p w:rsidR="00046D10" w:rsidRDefault="00046D10" w:rsidP="00973D86">
      <w:pPr>
        <w:numPr>
          <w:ilvl w:val="0"/>
          <w:numId w:val="1"/>
        </w:numPr>
        <w:contextualSpacing/>
        <w:rPr>
          <w:rFonts w:asciiTheme="minorHAnsi" w:hAnsiTheme="minorHAnsi" w:cstheme="minorHAnsi"/>
          <w:sz w:val="20"/>
          <w:szCs w:val="20"/>
        </w:rPr>
      </w:pPr>
      <w:r>
        <w:rPr>
          <w:rFonts w:asciiTheme="minorHAnsi" w:hAnsiTheme="minorHAnsi" w:cstheme="minorHAnsi"/>
          <w:sz w:val="20"/>
          <w:szCs w:val="20"/>
        </w:rPr>
        <w:t>Any Provider in violation  of the said rules and regulations may be subject to ticketing, towing, revocation of credentials or criminal penalties by the City of Cleveland; and</w:t>
      </w:r>
    </w:p>
    <w:p w:rsidR="00046D10" w:rsidRDefault="00046D10" w:rsidP="00973D86">
      <w:pPr>
        <w:numPr>
          <w:ilvl w:val="0"/>
          <w:numId w:val="1"/>
        </w:numPr>
        <w:contextualSpacing/>
        <w:rPr>
          <w:rFonts w:asciiTheme="minorHAnsi" w:hAnsiTheme="minorHAnsi" w:cstheme="minorHAnsi"/>
          <w:sz w:val="20"/>
          <w:szCs w:val="20"/>
        </w:rPr>
      </w:pPr>
      <w:r>
        <w:rPr>
          <w:rFonts w:asciiTheme="minorHAnsi" w:hAnsiTheme="minorHAnsi" w:cstheme="minorHAnsi"/>
          <w:sz w:val="20"/>
          <w:szCs w:val="20"/>
        </w:rPr>
        <w:t>The Department reserves the right to deny issuance of credentials to any applicants not in compliance; and reserves the right to recapture the Provider area for other uses.</w:t>
      </w:r>
    </w:p>
    <w:p w:rsidR="00046D10" w:rsidRDefault="00046D10" w:rsidP="00046D10">
      <w:pPr>
        <w:ind w:left="720"/>
        <w:contextualSpacing/>
        <w:rPr>
          <w:rFonts w:asciiTheme="minorHAnsi" w:hAnsiTheme="minorHAnsi" w:cstheme="minorHAnsi"/>
          <w:sz w:val="20"/>
          <w:szCs w:val="20"/>
        </w:rPr>
      </w:pPr>
    </w:p>
    <w:p w:rsidR="002961A7" w:rsidRPr="002961A7" w:rsidRDefault="002961A7" w:rsidP="002961A7">
      <w:pPr>
        <w:rPr>
          <w:rFonts w:asciiTheme="minorHAnsi" w:eastAsiaTheme="minorHAnsi" w:hAnsiTheme="minorHAnsi" w:cstheme="minorHAnsi"/>
          <w:b/>
          <w:color w:val="auto"/>
          <w:sz w:val="20"/>
          <w:szCs w:val="20"/>
          <w:u w:val="single"/>
        </w:rPr>
      </w:pPr>
      <w:r>
        <w:rPr>
          <w:rFonts w:asciiTheme="minorHAnsi" w:eastAsiaTheme="minorHAnsi" w:hAnsiTheme="minorHAnsi" w:cstheme="minorHAnsi"/>
          <w:b/>
          <w:color w:val="auto"/>
          <w:sz w:val="20"/>
          <w:szCs w:val="20"/>
          <w:u w:val="single"/>
        </w:rPr>
        <w:t>Fee</w:t>
      </w:r>
      <w:r w:rsidR="00046D10">
        <w:rPr>
          <w:rFonts w:asciiTheme="minorHAnsi" w:eastAsiaTheme="minorHAnsi" w:hAnsiTheme="minorHAnsi" w:cstheme="minorHAnsi"/>
          <w:b/>
          <w:color w:val="auto"/>
          <w:sz w:val="20"/>
          <w:szCs w:val="20"/>
          <w:u w:val="single"/>
        </w:rPr>
        <w:t>/Billing/Payments</w:t>
      </w:r>
    </w:p>
    <w:p w:rsidR="00046D10" w:rsidRPr="00046D10" w:rsidRDefault="002961A7" w:rsidP="00D64D26">
      <w:pPr>
        <w:numPr>
          <w:ilvl w:val="0"/>
          <w:numId w:val="2"/>
        </w:numPr>
        <w:ind w:hanging="360"/>
        <w:contextualSpacing/>
        <w:rPr>
          <w:rFonts w:asciiTheme="minorHAnsi" w:eastAsiaTheme="minorHAnsi" w:hAnsiTheme="minorHAnsi" w:cstheme="minorHAnsi"/>
          <w:b/>
          <w:color w:val="auto"/>
          <w:sz w:val="20"/>
          <w:szCs w:val="20"/>
          <w:u w:val="single"/>
        </w:rPr>
      </w:pPr>
      <w:r w:rsidRPr="00046D10">
        <w:rPr>
          <w:rFonts w:asciiTheme="minorHAnsi" w:eastAsia="Georgia" w:hAnsiTheme="minorHAnsi" w:cstheme="minorHAnsi"/>
          <w:sz w:val="20"/>
          <w:szCs w:val="20"/>
        </w:rPr>
        <w:t xml:space="preserve">Providers will be assessed an annual fee of $50.00 for each </w:t>
      </w:r>
      <w:r w:rsidR="00D925D4">
        <w:rPr>
          <w:rFonts w:asciiTheme="minorHAnsi" w:eastAsia="Georgia" w:hAnsiTheme="minorHAnsi" w:cstheme="minorHAnsi"/>
          <w:sz w:val="20"/>
          <w:szCs w:val="20"/>
        </w:rPr>
        <w:t>registration</w:t>
      </w:r>
      <w:r w:rsidRPr="00046D10">
        <w:rPr>
          <w:rFonts w:asciiTheme="minorHAnsi" w:eastAsia="Georgia" w:hAnsiTheme="minorHAnsi" w:cstheme="minorHAnsi"/>
          <w:sz w:val="20"/>
          <w:szCs w:val="20"/>
        </w:rPr>
        <w:t xml:space="preserve"> requested;</w:t>
      </w:r>
    </w:p>
    <w:p w:rsidR="002961A7" w:rsidRPr="002961A7" w:rsidRDefault="002961A7" w:rsidP="002961A7">
      <w:pPr>
        <w:numPr>
          <w:ilvl w:val="0"/>
          <w:numId w:val="3"/>
        </w:numPr>
        <w:ind w:hanging="360"/>
        <w:contextualSpacing/>
        <w:rPr>
          <w:rFonts w:asciiTheme="minorHAnsi" w:eastAsia="Georgia" w:hAnsiTheme="minorHAnsi" w:cstheme="minorHAnsi"/>
          <w:sz w:val="20"/>
          <w:szCs w:val="20"/>
        </w:rPr>
      </w:pPr>
      <w:r w:rsidRPr="002961A7">
        <w:rPr>
          <w:rFonts w:asciiTheme="minorHAnsi" w:eastAsia="Georgia" w:hAnsiTheme="minorHAnsi" w:cstheme="minorHAnsi"/>
          <w:sz w:val="20"/>
          <w:szCs w:val="20"/>
        </w:rPr>
        <w:t>Fees will be calculated via the License Plate Recognition Program and will be invoiced by the 20</w:t>
      </w:r>
      <w:r w:rsidRPr="002961A7">
        <w:rPr>
          <w:rFonts w:asciiTheme="minorHAnsi" w:eastAsia="Georgia" w:hAnsiTheme="minorHAnsi" w:cstheme="minorHAnsi"/>
          <w:sz w:val="20"/>
          <w:szCs w:val="20"/>
          <w:vertAlign w:val="superscript"/>
        </w:rPr>
        <w:t>th</w:t>
      </w:r>
      <w:r w:rsidRPr="002961A7">
        <w:rPr>
          <w:rFonts w:asciiTheme="minorHAnsi" w:eastAsia="Georgia" w:hAnsiTheme="minorHAnsi" w:cstheme="minorHAnsi"/>
          <w:sz w:val="20"/>
          <w:szCs w:val="20"/>
        </w:rPr>
        <w:t xml:space="preserve"> of the month following activity;</w:t>
      </w:r>
      <w:r w:rsidR="00D925D4">
        <w:rPr>
          <w:rFonts w:asciiTheme="minorHAnsi" w:eastAsia="Georgia" w:hAnsiTheme="minorHAnsi" w:cstheme="minorHAnsi"/>
          <w:sz w:val="20"/>
          <w:szCs w:val="20"/>
        </w:rPr>
        <w:t xml:space="preserve"> </w:t>
      </w:r>
    </w:p>
    <w:p w:rsidR="002961A7" w:rsidRPr="002961A7" w:rsidRDefault="002961A7" w:rsidP="002961A7">
      <w:pPr>
        <w:numPr>
          <w:ilvl w:val="0"/>
          <w:numId w:val="3"/>
        </w:numPr>
        <w:ind w:hanging="360"/>
        <w:contextualSpacing/>
        <w:rPr>
          <w:rFonts w:asciiTheme="minorHAnsi" w:eastAsiaTheme="minorHAnsi" w:hAnsiTheme="minorHAnsi" w:cstheme="minorHAnsi"/>
          <w:color w:val="auto"/>
          <w:sz w:val="20"/>
          <w:szCs w:val="20"/>
        </w:rPr>
      </w:pPr>
      <w:r w:rsidRPr="002961A7">
        <w:rPr>
          <w:rFonts w:asciiTheme="minorHAnsi" w:eastAsia="Georgia" w:hAnsiTheme="minorHAnsi" w:cstheme="minorHAnsi"/>
          <w:sz w:val="20"/>
          <w:szCs w:val="20"/>
        </w:rPr>
        <w:t xml:space="preserve">In the event that contact information such as billing address, e-mail address, or phone number changes, you must notify the Ground Transportation office of the change immediately; Payments are due within thirty days of the invoice date. Payments in the form of check or money order can be mailed to the following address: </w:t>
      </w:r>
    </w:p>
    <w:p w:rsidR="002961A7" w:rsidRPr="002961A7" w:rsidRDefault="002961A7" w:rsidP="002961A7">
      <w:pPr>
        <w:spacing w:after="0"/>
        <w:ind w:left="2880" w:firstLine="720"/>
        <w:contextualSpacing/>
        <w:rPr>
          <w:rFonts w:asciiTheme="minorHAnsi" w:hAnsiTheme="minorHAnsi" w:cstheme="minorHAnsi"/>
          <w:sz w:val="20"/>
          <w:szCs w:val="20"/>
        </w:rPr>
      </w:pPr>
      <w:r w:rsidRPr="002961A7">
        <w:rPr>
          <w:rFonts w:asciiTheme="minorHAnsi" w:eastAsia="Georgia" w:hAnsiTheme="minorHAnsi" w:cstheme="minorHAnsi"/>
          <w:sz w:val="20"/>
          <w:szCs w:val="20"/>
        </w:rPr>
        <w:t>Treasurer, City of Cleveland</w:t>
      </w:r>
    </w:p>
    <w:p w:rsidR="002961A7" w:rsidRPr="002961A7" w:rsidRDefault="002961A7" w:rsidP="002961A7">
      <w:pPr>
        <w:spacing w:after="0" w:line="238" w:lineRule="auto"/>
        <w:ind w:left="4320" w:right="2826" w:hanging="900"/>
        <w:contextualSpacing/>
        <w:rPr>
          <w:rFonts w:asciiTheme="minorHAnsi" w:eastAsia="Georgia" w:hAnsiTheme="minorHAnsi" w:cstheme="minorHAnsi"/>
          <w:sz w:val="20"/>
          <w:szCs w:val="20"/>
        </w:rPr>
      </w:pPr>
      <w:r w:rsidRPr="002961A7">
        <w:rPr>
          <w:rFonts w:asciiTheme="minorHAnsi" w:eastAsia="Georgia" w:hAnsiTheme="minorHAnsi" w:cstheme="minorHAnsi"/>
          <w:sz w:val="20"/>
          <w:szCs w:val="20"/>
        </w:rPr>
        <w:t xml:space="preserve">Bank of New York Mellon Trust </w:t>
      </w:r>
    </w:p>
    <w:p w:rsidR="002961A7" w:rsidRPr="002961A7" w:rsidRDefault="002961A7" w:rsidP="002961A7">
      <w:pPr>
        <w:spacing w:after="0" w:line="238" w:lineRule="auto"/>
        <w:ind w:left="4320" w:right="2826" w:hanging="270"/>
        <w:contextualSpacing/>
        <w:rPr>
          <w:rFonts w:asciiTheme="minorHAnsi" w:hAnsiTheme="minorHAnsi" w:cstheme="minorHAnsi"/>
          <w:sz w:val="20"/>
          <w:szCs w:val="20"/>
        </w:rPr>
      </w:pPr>
      <w:r w:rsidRPr="002961A7">
        <w:rPr>
          <w:rFonts w:asciiTheme="minorHAnsi" w:eastAsia="Georgia" w:hAnsiTheme="minorHAnsi" w:cstheme="minorHAnsi"/>
          <w:sz w:val="20"/>
          <w:szCs w:val="20"/>
        </w:rPr>
        <w:t>P.O. Box 70275</w:t>
      </w:r>
    </w:p>
    <w:p w:rsidR="00046D10" w:rsidRPr="002961A7" w:rsidRDefault="002961A7" w:rsidP="002961A7">
      <w:pPr>
        <w:ind w:left="2880" w:firstLine="720"/>
        <w:rPr>
          <w:rFonts w:asciiTheme="minorHAnsi" w:eastAsia="Georgia" w:hAnsiTheme="minorHAnsi" w:cstheme="minorHAnsi"/>
          <w:sz w:val="20"/>
          <w:szCs w:val="20"/>
        </w:rPr>
      </w:pPr>
      <w:r w:rsidRPr="002961A7">
        <w:rPr>
          <w:rFonts w:asciiTheme="minorHAnsi" w:eastAsia="Georgia" w:hAnsiTheme="minorHAnsi" w:cstheme="minorHAnsi"/>
          <w:sz w:val="20"/>
          <w:szCs w:val="20"/>
        </w:rPr>
        <w:t>Cleveland, OH 44190-0275</w:t>
      </w:r>
    </w:p>
    <w:p w:rsidR="002961A7" w:rsidRPr="002961A7" w:rsidRDefault="002961A7" w:rsidP="002961A7">
      <w:pPr>
        <w:numPr>
          <w:ilvl w:val="0"/>
          <w:numId w:val="4"/>
        </w:numPr>
        <w:ind w:hanging="360"/>
        <w:contextualSpacing/>
        <w:rPr>
          <w:rFonts w:asciiTheme="minorHAnsi" w:eastAsia="Georgia" w:hAnsiTheme="minorHAnsi" w:cstheme="minorHAnsi"/>
          <w:sz w:val="20"/>
          <w:szCs w:val="20"/>
        </w:rPr>
      </w:pPr>
      <w:r w:rsidRPr="002961A7">
        <w:rPr>
          <w:rFonts w:asciiTheme="minorHAnsi" w:eastAsia="Georgia" w:hAnsiTheme="minorHAnsi" w:cstheme="minorHAnsi"/>
          <w:sz w:val="20"/>
          <w:szCs w:val="20"/>
        </w:rPr>
        <w:t>To pay via credit card or to set up a credit card on file for recurring payments, please contact Accounts Receivable at (216)265-6039. Please note that American Express is not accepted; Electronic Funds Transfer (EFT) is also available by request;</w:t>
      </w:r>
    </w:p>
    <w:p w:rsidR="002961A7" w:rsidRPr="002961A7" w:rsidRDefault="002961A7" w:rsidP="002961A7">
      <w:pPr>
        <w:numPr>
          <w:ilvl w:val="0"/>
          <w:numId w:val="4"/>
        </w:numPr>
        <w:ind w:hanging="360"/>
        <w:contextualSpacing/>
        <w:rPr>
          <w:rFonts w:asciiTheme="minorHAnsi" w:hAnsiTheme="minorHAnsi" w:cstheme="minorHAnsi"/>
          <w:sz w:val="20"/>
          <w:szCs w:val="20"/>
        </w:rPr>
      </w:pPr>
      <w:r w:rsidRPr="002961A7">
        <w:rPr>
          <w:rFonts w:asciiTheme="minorHAnsi" w:eastAsia="Georgia" w:hAnsiTheme="minorHAnsi" w:cstheme="minorHAnsi"/>
          <w:sz w:val="20"/>
          <w:szCs w:val="20"/>
        </w:rPr>
        <w:t>In the event a payment is dishonored due to insufficient funds or otherwise, a $25.00 return fee will be assessed against your account;</w:t>
      </w:r>
    </w:p>
    <w:p w:rsidR="002961A7" w:rsidRPr="002961A7" w:rsidRDefault="002961A7" w:rsidP="002961A7">
      <w:pPr>
        <w:numPr>
          <w:ilvl w:val="0"/>
          <w:numId w:val="4"/>
        </w:numPr>
        <w:spacing w:after="15"/>
        <w:ind w:hanging="360"/>
        <w:contextualSpacing/>
        <w:rPr>
          <w:rFonts w:asciiTheme="minorHAnsi" w:eastAsia="Georgia" w:hAnsiTheme="minorHAnsi" w:cstheme="minorHAnsi"/>
          <w:sz w:val="20"/>
          <w:szCs w:val="20"/>
        </w:rPr>
      </w:pPr>
      <w:r w:rsidRPr="002961A7">
        <w:rPr>
          <w:rFonts w:asciiTheme="minorHAnsi" w:eastAsia="Georgia" w:hAnsiTheme="minorHAnsi" w:cstheme="minorHAnsi"/>
          <w:sz w:val="20"/>
          <w:szCs w:val="20"/>
        </w:rPr>
        <w:t>Failure to make timely payments is subject to the following penalties; Suspension/Revocation of access card;</w:t>
      </w:r>
      <w:r w:rsidR="00037A18">
        <w:rPr>
          <w:rFonts w:asciiTheme="minorHAnsi" w:eastAsia="Georgia" w:hAnsiTheme="minorHAnsi" w:cstheme="minorHAnsi"/>
          <w:sz w:val="20"/>
          <w:szCs w:val="20"/>
        </w:rPr>
        <w:t xml:space="preserve"> (if applicable)</w:t>
      </w:r>
      <w:bookmarkStart w:id="0" w:name="_GoBack"/>
      <w:bookmarkEnd w:id="0"/>
      <w:r w:rsidRPr="002961A7">
        <w:rPr>
          <w:rFonts w:asciiTheme="minorHAnsi" w:eastAsia="Georgia" w:hAnsiTheme="minorHAnsi" w:cstheme="minorHAnsi"/>
          <w:sz w:val="20"/>
          <w:szCs w:val="20"/>
        </w:rPr>
        <w:t xml:space="preserve"> and</w:t>
      </w:r>
    </w:p>
    <w:p w:rsidR="00655522" w:rsidRPr="00D925D4" w:rsidRDefault="002961A7" w:rsidP="00D925D4">
      <w:pPr>
        <w:numPr>
          <w:ilvl w:val="0"/>
          <w:numId w:val="4"/>
        </w:numPr>
        <w:spacing w:after="0" w:line="238" w:lineRule="auto"/>
        <w:ind w:right="271" w:hanging="360"/>
        <w:contextualSpacing/>
        <w:rPr>
          <w:rFonts w:asciiTheme="minorHAnsi" w:eastAsia="Georgia" w:hAnsiTheme="minorHAnsi" w:cstheme="minorHAnsi"/>
        </w:rPr>
      </w:pPr>
      <w:r w:rsidRPr="002961A7">
        <w:rPr>
          <w:rFonts w:asciiTheme="minorHAnsi" w:eastAsia="Georgia" w:hAnsiTheme="minorHAnsi" w:cstheme="minorHAnsi"/>
          <w:sz w:val="20"/>
          <w:szCs w:val="20"/>
        </w:rPr>
        <w:t>Finance charge computed at the prime rate as established by KeyBank, Cleveland, Ohio, or such other national commercial bank as the City may reasonably designate from time to time, and in effect on the first day of the month preceding such delinquency, compounded monthly, from the date such amount is due and outstanding until payment has been made in full.</w:t>
      </w:r>
    </w:p>
    <w:sectPr w:rsidR="00655522" w:rsidRPr="00D925D4" w:rsidSect="00D925D4">
      <w:footerReference w:type="default" r:id="rId7"/>
      <w:pgSz w:w="12240" w:h="15840"/>
      <w:pgMar w:top="1296" w:right="1642" w:bottom="115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10" w:rsidRDefault="00046D10" w:rsidP="00046D10">
      <w:pPr>
        <w:spacing w:after="0" w:line="240" w:lineRule="auto"/>
      </w:pPr>
      <w:r>
        <w:separator/>
      </w:r>
    </w:p>
  </w:endnote>
  <w:endnote w:type="continuationSeparator" w:id="0">
    <w:p w:rsidR="00046D10" w:rsidRDefault="00046D10" w:rsidP="0004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10" w:rsidRPr="00046D10" w:rsidRDefault="00046D10">
    <w:pPr>
      <w:pStyle w:val="Footer"/>
      <w:rPr>
        <w:sz w:val="16"/>
        <w:szCs w:val="16"/>
      </w:rPr>
    </w:pPr>
    <w:r w:rsidRPr="00046D10">
      <w:rPr>
        <w:sz w:val="16"/>
        <w:szCs w:val="16"/>
      </w:rPr>
      <w:t>Rev. 3</w:t>
    </w:r>
  </w:p>
  <w:p w:rsidR="00046D10" w:rsidRPr="00046D10" w:rsidRDefault="00046D10">
    <w:pPr>
      <w:pStyle w:val="Footer"/>
      <w:rPr>
        <w:sz w:val="16"/>
        <w:szCs w:val="16"/>
      </w:rPr>
    </w:pPr>
    <w:r w:rsidRPr="00046D10">
      <w:rPr>
        <w:sz w:val="16"/>
        <w:szCs w:val="16"/>
      </w:rPr>
      <w:t>3/23/21</w:t>
    </w:r>
  </w:p>
  <w:p w:rsidR="00046D10" w:rsidRPr="00046D10" w:rsidRDefault="00046D1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10" w:rsidRDefault="00046D10" w:rsidP="00046D10">
      <w:pPr>
        <w:spacing w:after="0" w:line="240" w:lineRule="auto"/>
      </w:pPr>
      <w:r>
        <w:separator/>
      </w:r>
    </w:p>
  </w:footnote>
  <w:footnote w:type="continuationSeparator" w:id="0">
    <w:p w:rsidR="00046D10" w:rsidRDefault="00046D10" w:rsidP="00046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C39"/>
    <w:multiLevelType w:val="hybridMultilevel"/>
    <w:tmpl w:val="1A7E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15DD"/>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D0D171F"/>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3DE6296"/>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BD"/>
    <w:rsid w:val="00037A18"/>
    <w:rsid w:val="00046D10"/>
    <w:rsid w:val="001E1D87"/>
    <w:rsid w:val="002961A7"/>
    <w:rsid w:val="00655522"/>
    <w:rsid w:val="0072599D"/>
    <w:rsid w:val="00920ABD"/>
    <w:rsid w:val="00D9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2446"/>
  <w15:docId w15:val="{B1C744B5-3C72-4663-A3AF-DB7A370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10"/>
    <w:rPr>
      <w:rFonts w:ascii="Calibri" w:eastAsia="Calibri" w:hAnsi="Calibri" w:cs="Calibri"/>
      <w:color w:val="000000"/>
    </w:rPr>
  </w:style>
  <w:style w:type="paragraph" w:styleId="Footer">
    <w:name w:val="footer"/>
    <w:basedOn w:val="Normal"/>
    <w:link w:val="FooterChar"/>
    <w:uiPriority w:val="99"/>
    <w:unhideWhenUsed/>
    <w:rsid w:val="0004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10"/>
    <w:rPr>
      <w:rFonts w:ascii="Calibri" w:eastAsia="Calibri" w:hAnsi="Calibri" w:cs="Calibri"/>
      <w:color w:val="000000"/>
    </w:rPr>
  </w:style>
  <w:style w:type="paragraph" w:styleId="BalloonText">
    <w:name w:val="Balloon Text"/>
    <w:basedOn w:val="Normal"/>
    <w:link w:val="BalloonTextChar"/>
    <w:uiPriority w:val="99"/>
    <w:semiHidden/>
    <w:unhideWhenUsed/>
    <w:rsid w:val="00D9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- 2018-2019 Delivery &amp; Courier Rules &amp; Regulations.docx</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- 2018-2019 Delivery &amp; Courier Rules &amp; Regulations.docx</dc:title>
  <dc:subject/>
  <dc:creator>mRiggs</dc:creator>
  <cp:keywords/>
  <cp:lastModifiedBy>Cartellone, Diane</cp:lastModifiedBy>
  <cp:revision>4</cp:revision>
  <cp:lastPrinted>2021-03-26T14:39:00Z</cp:lastPrinted>
  <dcterms:created xsi:type="dcterms:W3CDTF">2021-03-25T16:32:00Z</dcterms:created>
  <dcterms:modified xsi:type="dcterms:W3CDTF">2021-03-26T14:39:00Z</dcterms:modified>
</cp:coreProperties>
</file>